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«Порядок проведения антикоррупционных проверок при увольнении или прекращении полномочий»</w:t>
      </w:r>
    </w:p>
    <w:p w:rsidR="006531B6" w:rsidRPr="007A3B62" w:rsidRDefault="006531B6" w:rsidP="00A350CE">
      <w:pPr>
        <w:jc w:val="center"/>
        <w:rPr>
          <w:b/>
        </w:rPr>
      </w:pPr>
      <w:r>
        <w:t xml:space="preserve">Разъяснение </w:t>
      </w:r>
      <w:r w:rsidR="00EB7243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EB7243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EB7243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>.</w:t>
      </w:r>
    </w:p>
    <w:p w:rsidR="006531B6" w:rsidRPr="007A3B62" w:rsidRDefault="006531B6" w:rsidP="00A350CE">
      <w:pPr>
        <w:spacing w:after="240"/>
        <w:ind w:firstLine="708"/>
        <w:jc w:val="both"/>
      </w:pPr>
    </w:p>
    <w:p w:rsidR="006531B6" w:rsidRPr="007A3B62" w:rsidRDefault="006531B6" w:rsidP="00A350CE">
      <w:pPr>
        <w:spacing w:after="240"/>
        <w:ind w:firstLine="708"/>
        <w:jc w:val="both"/>
      </w:pPr>
      <w:r>
        <w:t>В соответствии с положениями статьи 13.5 Федерального закона от 25 декабря 2008 года № 273-ФЗ «О противодействии коррупции» установлен порядок проведения проверок в рамках антикоррупционного законодательства при увольнении или прекращении полномочий отдельных категорий лиц.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Если лицо, в отношении которого были установлены ограничения, запреты, требования о предотвращении или урегулировании конфликта интересов и (или) обязанности, связанные с противодействием коррупции, было уволено или прекратило свои полномочия, и в отношении него проводилась проверка достоверности и полноты сведений о доходах, имуществе и обязательствах имущественного характера, а также соблюдения указанных ограничений и запретов, то все материалы проверки должны быть переданы в органы прокуратуры Российской Федерации в течение трёх дней после увольнения или прекращения полномочий проверяемого лица.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На основании полученных материалов проверки Генеральный прокурор Российской Федерации или его подчинённые прокуроры принимают решение о проверке достоверности и полноты сведений о доходах, имуществе и обязательствах имущественного характера, а также соблюдения ограничений и запретов, требований о предотвращении или урегулировании конфликта интересов и (или) исполнения обязанностей, связанных с противодействием коррупции.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Кроме того, Генеральный прокурор Российской Федерации и его подчинённые прокуроры имеют право обратиться в суд с заявлением об изменении основания и формулировки увольнения или прекращения полномочий проверяемого лица, если оно было уволено после проведения антикоррупционной проверки и до принятия решения о применении к нему взыскания за коррупционное правонарушение.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Срок для обращения в суд составляет не более четырёх месяцев с момента получения материалов проверки. Если суд удовлетворит заявление, то формулировка увольнения или прекращения полномочий будет изменена на увольнение или прекращение полномочий в связи с утратой доверия за совершение коррупционного правонарушения.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3B11"/>
    <w:multiLevelType w:val="hybridMultilevel"/>
    <w:tmpl w:val="6194E36C"/>
    <w:lvl w:ilvl="0" w:tplc="6A105AF0">
      <w:start w:val="1"/>
      <w:numFmt w:val="decimal"/>
      <w:lvlText w:val="%1."/>
      <w:lvlJc w:val="left"/>
      <w:pPr>
        <w:ind w:left="720" w:hanging="360"/>
      </w:pPr>
    </w:lvl>
    <w:lvl w:ilvl="1" w:tplc="3C10904C">
      <w:start w:val="1"/>
      <w:numFmt w:val="lowerLetter"/>
      <w:lvlText w:val="%2."/>
      <w:lvlJc w:val="left"/>
      <w:pPr>
        <w:ind w:left="1440" w:hanging="360"/>
      </w:pPr>
    </w:lvl>
    <w:lvl w:ilvl="2" w:tplc="2D9AE94C">
      <w:start w:val="1"/>
      <w:numFmt w:val="lowerRoman"/>
      <w:lvlText w:val="%3."/>
      <w:lvlJc w:val="right"/>
      <w:pPr>
        <w:ind w:left="2160" w:hanging="180"/>
      </w:pPr>
    </w:lvl>
    <w:lvl w:ilvl="3" w:tplc="9F3A2072">
      <w:start w:val="1"/>
      <w:numFmt w:val="decimal"/>
      <w:lvlText w:val="%4."/>
      <w:lvlJc w:val="left"/>
      <w:pPr>
        <w:ind w:left="2880" w:hanging="360"/>
      </w:pPr>
    </w:lvl>
    <w:lvl w:ilvl="4" w:tplc="2F1C8E62">
      <w:start w:val="1"/>
      <w:numFmt w:val="lowerLetter"/>
      <w:lvlText w:val="%5."/>
      <w:lvlJc w:val="left"/>
      <w:pPr>
        <w:ind w:left="3600" w:hanging="360"/>
      </w:pPr>
    </w:lvl>
    <w:lvl w:ilvl="5" w:tplc="EE802700">
      <w:start w:val="1"/>
      <w:numFmt w:val="lowerRoman"/>
      <w:lvlText w:val="%6."/>
      <w:lvlJc w:val="right"/>
      <w:pPr>
        <w:ind w:left="4320" w:hanging="180"/>
      </w:pPr>
    </w:lvl>
    <w:lvl w:ilvl="6" w:tplc="87007AD2">
      <w:start w:val="1"/>
      <w:numFmt w:val="decimal"/>
      <w:lvlText w:val="%7."/>
      <w:lvlJc w:val="left"/>
      <w:pPr>
        <w:ind w:left="5040" w:hanging="360"/>
      </w:pPr>
    </w:lvl>
    <w:lvl w:ilvl="7" w:tplc="279AAAEC">
      <w:start w:val="1"/>
      <w:numFmt w:val="lowerLetter"/>
      <w:lvlText w:val="%8."/>
      <w:lvlJc w:val="left"/>
      <w:pPr>
        <w:ind w:left="5760" w:hanging="360"/>
      </w:pPr>
    </w:lvl>
    <w:lvl w:ilvl="8" w:tplc="BFBAD0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0053"/>
    <w:multiLevelType w:val="hybridMultilevel"/>
    <w:tmpl w:val="274CE428"/>
    <w:lvl w:ilvl="0" w:tplc="6CA2FF02">
      <w:start w:val="1"/>
      <w:numFmt w:val="decimal"/>
      <w:lvlText w:val="%1."/>
      <w:lvlJc w:val="left"/>
      <w:pPr>
        <w:ind w:left="720" w:hanging="360"/>
      </w:pPr>
    </w:lvl>
    <w:lvl w:ilvl="1" w:tplc="8BB873BA">
      <w:start w:val="1"/>
      <w:numFmt w:val="lowerLetter"/>
      <w:lvlText w:val="%2."/>
      <w:lvlJc w:val="left"/>
      <w:pPr>
        <w:ind w:left="1440" w:hanging="360"/>
      </w:pPr>
    </w:lvl>
    <w:lvl w:ilvl="2" w:tplc="2EEA12FA">
      <w:start w:val="1"/>
      <w:numFmt w:val="lowerRoman"/>
      <w:lvlText w:val="%3."/>
      <w:lvlJc w:val="right"/>
      <w:pPr>
        <w:ind w:left="2160" w:hanging="180"/>
      </w:pPr>
    </w:lvl>
    <w:lvl w:ilvl="3" w:tplc="45BE0A6E">
      <w:start w:val="1"/>
      <w:numFmt w:val="decimal"/>
      <w:lvlText w:val="%4."/>
      <w:lvlJc w:val="left"/>
      <w:pPr>
        <w:ind w:left="2880" w:hanging="360"/>
      </w:pPr>
    </w:lvl>
    <w:lvl w:ilvl="4" w:tplc="5BFA0820">
      <w:start w:val="1"/>
      <w:numFmt w:val="lowerLetter"/>
      <w:lvlText w:val="%5."/>
      <w:lvlJc w:val="left"/>
      <w:pPr>
        <w:ind w:left="3600" w:hanging="360"/>
      </w:pPr>
    </w:lvl>
    <w:lvl w:ilvl="5" w:tplc="17044FD0">
      <w:start w:val="1"/>
      <w:numFmt w:val="lowerRoman"/>
      <w:lvlText w:val="%6."/>
      <w:lvlJc w:val="right"/>
      <w:pPr>
        <w:ind w:left="4320" w:hanging="180"/>
      </w:pPr>
    </w:lvl>
    <w:lvl w:ilvl="6" w:tplc="6596898A">
      <w:start w:val="1"/>
      <w:numFmt w:val="decimal"/>
      <w:lvlText w:val="%7."/>
      <w:lvlJc w:val="left"/>
      <w:pPr>
        <w:ind w:left="5040" w:hanging="360"/>
      </w:pPr>
    </w:lvl>
    <w:lvl w:ilvl="7" w:tplc="1AC0AADA">
      <w:start w:val="1"/>
      <w:numFmt w:val="lowerLetter"/>
      <w:lvlText w:val="%8."/>
      <w:lvlJc w:val="left"/>
      <w:pPr>
        <w:ind w:left="5760" w:hanging="360"/>
      </w:pPr>
    </w:lvl>
    <w:lvl w:ilvl="8" w:tplc="E89E76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1EA640-7C95-4232-B2C4-9568862D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dcterms:created xsi:type="dcterms:W3CDTF">2024-11-06T21:43:00Z</dcterms:created>
  <dcterms:modified xsi:type="dcterms:W3CDTF">2025-06-20T13:47:00Z</dcterms:modified>
</cp:coreProperties>
</file>