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jc w:val="center"/>
        <w:rPr>
          <w:b/>
        </w:rPr>
      </w:pPr>
      <w:r>
        <w:rPr>
          <w:b/>
        </w:rPr>
        <w:t>«Административная ответственность за коррупционные нарушения»</w:t>
      </w:r>
    </w:p>
    <w:p w:rsidR="006531B6" w:rsidRPr="007A3B62" w:rsidRDefault="006531B6" w:rsidP="00A350CE">
      <w:pPr>
        <w:jc w:val="center"/>
      </w:pPr>
      <w:r>
        <w:t xml:space="preserve">Разъяснение </w:t>
      </w:r>
      <w:r w:rsidR="00D02B77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D02B77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D02B77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t>.</w:t>
      </w:r>
    </w:p>
    <w:p w:rsidR="006531B6" w:rsidRPr="007A3B62" w:rsidRDefault="006531B6" w:rsidP="00A350CE">
      <w:pPr>
        <w:ind w:firstLine="708"/>
        <w:jc w:val="both"/>
      </w:pPr>
      <w:r>
        <w:t>В соответствии с п. 1 ст. 1 Федерального закона от 25.12.2008 № 273-ФЗ «О противодействии коррупции» (далее — Закон о коррупции), коррупция определяется как злоупотребление служебным положением, дача взятки, получение взятки, злоупотребление полномочиями,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Следовательно, коррупционные правонарушения — это противоправные, виновные действия (или бездействие) должностных лиц, которые нарушают нормы антикоррупционного законодательства и используют своё служебное положение для получения личной выгоды. Эти действия влекут за собой ответственность.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В Кодексе Российской Федерации об административных правонарушениях (КоАП РФ) нет отдельной главы, посвящённой коррупционным правонарушениям. Однако, учитывая, что для квалификации правонарушения как коррупционного необходимо наличие личной заинтересованности, использование должностных полномочий в личных целях и нарушение нормальной управленческой деятельности, можно отнести к коррупционным следующие составы: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ограничение конкуренции органами власти и местного самоуправления (ст. 14.9 КоАП РФ);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нарушение законодательства о государственном кадастровом учёте недвижимого имущества и кадастровой деятельности (ст. 14.35 КоАП РФ);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нецелевое использование бюджетных средств (ст. 15.14 КоАП РФ);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неправомерное использование инсайдерской информации (ст. 15.21 КоАП РФ);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незаконное вознаграждение от имени юридического лица (ст. 19.28 КоАП РФ);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незаконное привлечение к работе государственного или муниципального служащего (ст. 19.29 КоАП РФ);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подкуп избирателей или участников референдума, а также благотворительная деятельность в период избирательной кампании или кампании референдума с нарушением законодательства о выборах и референдумах (ст. 5.16 КоАП РФ);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незаконное использование средств при финансировании избирательной кампании кандидата или избирательного объединения (ст. 5.18 КоАП РФ);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использование незаконной материальной поддержки при финансировании избирательной кампании или кампании референдума (ст. 5.19 КоАП РФ);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незаконное финансирование избирательной кампании кандидата или избирательного объединения, а также оказание запрещённой законом материальной поддержки, связанной с проведением выборов или референдума (ст. 5.20 КоАП РФ);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— использование преимуществ должностного или служебного положения в период избирательной кампании или кампании референдума (ст. 5.45 КоАП РФ).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Хотя эти составы формально распределены по разным главам КоАП РФ, все они так или иначе нарушают установленный порядок управления в определённой сфере и совершаются должностными лицами, наделёнными соответствующими полномочиями.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Однако этот перечень не является исчерпывающим, и в других составах также могут быть выявлены признаки коррупционного правонарушения.</w:t>
      </w:r>
    </w:p>
    <w:p w:rsidR="006531B6" w:rsidRPr="007A3B62" w:rsidRDefault="006531B6" w:rsidP="00A350CE">
      <w:pPr>
        <w:spacing w:line="240" w:lineRule="auto"/>
        <w:ind w:firstLine="708"/>
        <w:jc w:val="both"/>
      </w:pPr>
      <w:r>
        <w:t>За совершение коррупционных правонарушений предусмотрена административная ответственность в виде предупреждения, административного штрафа или дисквалификации должностных лиц. В качестве дополнительной меры может быть применена конфискация денег, ценных бумаг, иного имущества, стоимости услуг имущественного характера или иных имущественных прав. Размер штрафа зависит от тяжести совершённого правонарушения.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6468E"/>
    <w:multiLevelType w:val="hybridMultilevel"/>
    <w:tmpl w:val="02CCCBFC"/>
    <w:lvl w:ilvl="0" w:tplc="16E83EDC">
      <w:start w:val="1"/>
      <w:numFmt w:val="decimal"/>
      <w:lvlText w:val="%1."/>
      <w:lvlJc w:val="left"/>
      <w:pPr>
        <w:ind w:left="720" w:hanging="360"/>
      </w:pPr>
    </w:lvl>
    <w:lvl w:ilvl="1" w:tplc="DF44BB38">
      <w:start w:val="1"/>
      <w:numFmt w:val="lowerLetter"/>
      <w:lvlText w:val="%2."/>
      <w:lvlJc w:val="left"/>
      <w:pPr>
        <w:ind w:left="1440" w:hanging="360"/>
      </w:pPr>
    </w:lvl>
    <w:lvl w:ilvl="2" w:tplc="E174C178">
      <w:start w:val="1"/>
      <w:numFmt w:val="lowerRoman"/>
      <w:lvlText w:val="%3."/>
      <w:lvlJc w:val="right"/>
      <w:pPr>
        <w:ind w:left="2160" w:hanging="180"/>
      </w:pPr>
    </w:lvl>
    <w:lvl w:ilvl="3" w:tplc="B590E854">
      <w:start w:val="1"/>
      <w:numFmt w:val="decimal"/>
      <w:lvlText w:val="%4."/>
      <w:lvlJc w:val="left"/>
      <w:pPr>
        <w:ind w:left="2880" w:hanging="360"/>
      </w:pPr>
    </w:lvl>
    <w:lvl w:ilvl="4" w:tplc="7B98DEE0">
      <w:start w:val="1"/>
      <w:numFmt w:val="lowerLetter"/>
      <w:lvlText w:val="%5."/>
      <w:lvlJc w:val="left"/>
      <w:pPr>
        <w:ind w:left="3600" w:hanging="360"/>
      </w:pPr>
    </w:lvl>
    <w:lvl w:ilvl="5" w:tplc="B11AD5EC">
      <w:start w:val="1"/>
      <w:numFmt w:val="lowerRoman"/>
      <w:lvlText w:val="%6."/>
      <w:lvlJc w:val="right"/>
      <w:pPr>
        <w:ind w:left="4320" w:hanging="180"/>
      </w:pPr>
    </w:lvl>
    <w:lvl w:ilvl="6" w:tplc="7FD69526">
      <w:start w:val="1"/>
      <w:numFmt w:val="decimal"/>
      <w:lvlText w:val="%7."/>
      <w:lvlJc w:val="left"/>
      <w:pPr>
        <w:ind w:left="5040" w:hanging="360"/>
      </w:pPr>
    </w:lvl>
    <w:lvl w:ilvl="7" w:tplc="72A0BE48">
      <w:start w:val="1"/>
      <w:numFmt w:val="lowerLetter"/>
      <w:lvlText w:val="%8."/>
      <w:lvlJc w:val="left"/>
      <w:pPr>
        <w:ind w:left="5760" w:hanging="360"/>
      </w:pPr>
    </w:lvl>
    <w:lvl w:ilvl="8" w:tplc="406AAB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D6813"/>
    <w:multiLevelType w:val="hybridMultilevel"/>
    <w:tmpl w:val="C0FC1AFE"/>
    <w:lvl w:ilvl="0" w:tplc="023E4802">
      <w:start w:val="1"/>
      <w:numFmt w:val="decimal"/>
      <w:lvlText w:val="%1."/>
      <w:lvlJc w:val="left"/>
      <w:pPr>
        <w:ind w:left="720" w:hanging="360"/>
      </w:pPr>
    </w:lvl>
    <w:lvl w:ilvl="1" w:tplc="0CB85740">
      <w:start w:val="1"/>
      <w:numFmt w:val="lowerLetter"/>
      <w:lvlText w:val="%2."/>
      <w:lvlJc w:val="left"/>
      <w:pPr>
        <w:ind w:left="1440" w:hanging="360"/>
      </w:pPr>
    </w:lvl>
    <w:lvl w:ilvl="2" w:tplc="A6164174">
      <w:start w:val="1"/>
      <w:numFmt w:val="lowerRoman"/>
      <w:lvlText w:val="%3."/>
      <w:lvlJc w:val="right"/>
      <w:pPr>
        <w:ind w:left="2160" w:hanging="180"/>
      </w:pPr>
    </w:lvl>
    <w:lvl w:ilvl="3" w:tplc="86944D96">
      <w:start w:val="1"/>
      <w:numFmt w:val="decimal"/>
      <w:lvlText w:val="%4."/>
      <w:lvlJc w:val="left"/>
      <w:pPr>
        <w:ind w:left="2880" w:hanging="360"/>
      </w:pPr>
    </w:lvl>
    <w:lvl w:ilvl="4" w:tplc="D45661DC">
      <w:start w:val="1"/>
      <w:numFmt w:val="lowerLetter"/>
      <w:lvlText w:val="%5."/>
      <w:lvlJc w:val="left"/>
      <w:pPr>
        <w:ind w:left="3600" w:hanging="360"/>
      </w:pPr>
    </w:lvl>
    <w:lvl w:ilvl="5" w:tplc="9362AAC0">
      <w:start w:val="1"/>
      <w:numFmt w:val="lowerRoman"/>
      <w:lvlText w:val="%6."/>
      <w:lvlJc w:val="right"/>
      <w:pPr>
        <w:ind w:left="4320" w:hanging="180"/>
      </w:pPr>
    </w:lvl>
    <w:lvl w:ilvl="6" w:tplc="14927852">
      <w:start w:val="1"/>
      <w:numFmt w:val="decimal"/>
      <w:lvlText w:val="%7."/>
      <w:lvlJc w:val="left"/>
      <w:pPr>
        <w:ind w:left="5040" w:hanging="360"/>
      </w:pPr>
    </w:lvl>
    <w:lvl w:ilvl="7" w:tplc="7A58F5DC">
      <w:start w:val="1"/>
      <w:numFmt w:val="lowerLetter"/>
      <w:lvlText w:val="%8."/>
      <w:lvlJc w:val="left"/>
      <w:pPr>
        <w:ind w:left="5760" w:hanging="360"/>
      </w:pPr>
    </w:lvl>
    <w:lvl w:ilvl="8" w:tplc="BD503D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A3B62"/>
    <w:rsid w:val="00A350CE"/>
    <w:rsid w:val="00CB5903"/>
    <w:rsid w:val="00D0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D02B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02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018B1-002C-407D-AC6F-6A3B99F4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2025-06-20T13:48:00Z</cp:lastPrinted>
  <dcterms:created xsi:type="dcterms:W3CDTF">2024-11-06T21:43:00Z</dcterms:created>
  <dcterms:modified xsi:type="dcterms:W3CDTF">2025-06-20T13:48:00Z</dcterms:modified>
</cp:coreProperties>
</file>