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79" w:rsidRPr="00CF7979" w:rsidRDefault="00CF7979" w:rsidP="00CF7979">
      <w:pPr>
        <w:shd w:val="clear" w:color="auto" w:fill="FFFFFF"/>
        <w:spacing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5F5F5F"/>
          <w:sz w:val="36"/>
          <w:szCs w:val="36"/>
          <w:lang w:eastAsia="ru-RU"/>
        </w:rPr>
      </w:pPr>
      <w:r w:rsidRPr="00CF7979">
        <w:rPr>
          <w:rFonts w:ascii="Arial" w:eastAsia="Times New Roman" w:hAnsi="Arial" w:cs="Arial"/>
          <w:b/>
          <w:bCs/>
          <w:color w:val="5F5F5F"/>
          <w:sz w:val="36"/>
          <w:szCs w:val="36"/>
          <w:lang w:eastAsia="ru-RU"/>
        </w:rPr>
        <w:t>УСЛОВИЯ ПРЕДОСТАВЛЕНИЯ МИКРОЗАЙМОВ</w:t>
      </w:r>
      <w:r>
        <w:rPr>
          <w:rFonts w:ascii="Arial" w:eastAsia="Times New Roman" w:hAnsi="Arial" w:cs="Arial"/>
          <w:b/>
          <w:bCs/>
          <w:color w:val="5F5F5F"/>
          <w:sz w:val="36"/>
          <w:szCs w:val="36"/>
          <w:lang w:eastAsia="ru-RU"/>
        </w:rPr>
        <w:t xml:space="preserve"> предпринимателям, осуществляющие деятельность более 6 мес.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57"/>
        <w:gridCol w:w="3118"/>
        <w:gridCol w:w="3164"/>
      </w:tblGrid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9367"/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9367"/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«ОПТИМАЛЬНЫЙ»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9367"/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«УНИВЕРСАЛЬНЫЙ»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 (юридическое лицо и индивидуальный предприниматель):</w:t>
            </w:r>
          </w:p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включенный в единый реестр субъектов малого и среднего предпринимательства (</w:t>
            </w:r>
            <w:hyperlink r:id="rId4" w:history="1">
              <w:r w:rsidRPr="00CF79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https://rmsp.nalog.ru/</w:t>
              </w:r>
            </w:hyperlink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зарегистрированный (-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осуществляющий (-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свою деятельность на территории Самарской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 (юридическое лицо и индивидуальный предприниматель):</w:t>
            </w:r>
          </w:p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включенный в единый реестр субъектов малого и среднего предпринимательства (</w:t>
            </w:r>
            <w:hyperlink r:id="rId5" w:history="1">
              <w:r w:rsidRPr="00CF79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https://rmsp.nalog.ru/</w:t>
              </w:r>
            </w:hyperlink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зарегистрированный (-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осуществляющий (-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свою деятельность на территории Самарской области,</w:t>
            </w:r>
          </w:p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соответствует показателям</w:t>
            </w:r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***</w:t>
            </w: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Безналичное перечисление на расчетный счет Заявителя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Минимальная сумма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рублей (для Социальных предприятий – 100 000 </w:t>
            </w:r>
            <w:proofErr w:type="gram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proofErr w:type="gramEnd"/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рублей (для Социальных предприятий – 100 000 </w:t>
            </w:r>
            <w:proofErr w:type="gram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proofErr w:type="gramEnd"/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****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сумма основного долга по договору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5 000 000 рублей (но не более суммы дохода полученной Заемщиком за последние 6 (шесть) месяцев предшествующих дате подачи заявления на предоставление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подтвержденной поступлениями по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5 000 000 рублей (определяется по результатам анализа деятельности Заявителя)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3,7 % годовых (для Заемщика, зарегистрированного и осуществляющего свою деятельность на территории </w:t>
            </w: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моногорода при реализации приоритетных проектов</w:t>
            </w:r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1% годовых (для Социальных </w:t>
            </w:r>
            <w:proofErr w:type="gram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предприятий)</w:t>
            </w:r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proofErr w:type="gramEnd"/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****</w:t>
            </w: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5,6 % годовых (для прочих Заемщиков).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 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3 (трех) лет, а для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в рамках Лимита на сделки в Режиме повышенной готовности или режиме чрезвычайной ситуации не более 2 (двух) лет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деятельности Заявителя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6 месяцев, предшествующих дате подачи заявления на предоставление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цели связанные, по мнению АО МКК “ГФСО”, с осуществлением Заявителем предпринимательской деятельности.</w:t>
            </w:r>
          </w:p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Заемщику не допускается осуществлять платежи за счет средств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(подрядчикам, исполнителям), являющимися участниками / учредителями Заявителя, Поручителем Заявителя и Залогодателем.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погашения основного долга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  (</w:t>
            </w:r>
            <w:proofErr w:type="gram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результатам анализа деятельности Заявителя)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погашения процентов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погашение</w:t>
            </w:r>
          </w:p>
        </w:tc>
      </w:tr>
      <w:tr w:rsidR="00CF7979" w:rsidRPr="00CF7979" w:rsidTr="00CF7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Залог высоколиквидного</w:t>
            </w:r>
            <w:r w:rsidRPr="00CF79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мнению АО МКК “ГФСО”, движимого и (или) недвижимого имущества, в том числе приобретаемого за счет средств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не менее 80% от суммы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Поручительство физических и (или) юридических лиц (в дополнение к иному обеспечению (залогу).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Залог движимого и (или) недвижимого имущество, в том числе приобретаемого за счет средств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не менее 80% от суммы </w:t>
            </w:r>
            <w:proofErr w:type="spellStart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7979" w:rsidRPr="00CF7979" w:rsidRDefault="00CF7979" w:rsidP="00CF7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Поручительство физических и (или) юридических лиц (в дополнение к иному обеспечению (залогу).</w:t>
            </w:r>
          </w:p>
        </w:tc>
      </w:tr>
    </w:tbl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t>*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 Под приоритетными понимаются проекты, которые удовлетворяют одному или нескольким условиям: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a) Заемщик зарегистрирован и осуществляет деятельность на территориях опережающего социально-экономического развития Самарской области, особой экономической зоны Самарской области и включен в реестр резидентов таких территорий;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lastRenderedPageBreak/>
        <w:t xml:space="preserve">b) Заемщик является резидентом промышленного (индустриального) парка, агропромышленного парка, технопарка, промышленного технопарка, бизнес-инкубатора,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коворкинга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, расположенного в помещениях центра «Мой бизнес», и включен в реестр резидентов таких организаций, образующих инфраструктуру поддержки СМСП;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c) Заемщик, осуществляющий экспортную деятельность (на момент подачи заявления на предоставление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Микрозайма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имеется действующий экспортный контракт, включая рамочное соглашение, а также в течение предшествующих 12 месяцев имелся факт поступления денежных средств по экспортным контрактам);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d) Заемщик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женщиной(-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ами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), являющейся(-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имися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) учредителем(-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ями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) (участником(-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ами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) юридического лица, а ее (их) доля в уставном капитале общества с ограниченной ответственностью либо складочном капитале хозяйственного товарищества составляет не менее 50 %, либо не менее чем 50 % голосующих акций акционерного общества;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e) Заемщик является сельскохозяйственным,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08.12.1995 г. № 193-ФЗ «О сельскохозяйственной кооперации»;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f) Заемщик осуществляет реализацию проекта в сферах туризма, экологии или спорта;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g) Заемщик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общества);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h) Заемщик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50 % доли в уставном капитале общества с ограниченной ответственностью либо складочном капитале хозяйственного товарищества, либо не менее чем 50 %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Микрозайма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.</w:t>
      </w:r>
      <w:r w:rsidRPr="00CF7979">
        <w:rPr>
          <w:rFonts w:ascii="Open Sans" w:eastAsia="Times New Roman" w:hAnsi="Open Sans" w:cs="Times New Roman"/>
          <w:sz w:val="15"/>
          <w:szCs w:val="15"/>
          <w:lang w:eastAsia="ru-RU"/>
        </w:rPr>
        <w:t>          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t>**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 1. Легковые автомобили без существенных, по мнению Общества, эксплуатационных дефектов возрастом не более 10-ти лет (от даты выдачи ПТС), находящиеся на регистрационном учете в подразделениях ГИБДД МВД России и среднегодовым пробегом не выше 50 тыс. км. /год, но не более 200 тыс. км</w:t>
      </w:r>
      <w:proofErr w:type="gram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. совокупного</w:t>
      </w:r>
      <w:proofErr w:type="gram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пробега. Не могут являться предметом залога по данному заемному продукту автомобили,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эксплуатировавшиеся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/ планируемые к эксплуатации в такси, автошколах (учебные автомобили) и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каршеринговые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авто, за исключением ТС, застрахованных по программе КАСКО, с указанием в качестве выгодоприобретателя Залогодержателя.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 xml:space="preserve">2. Автобусы, грузовые автомобили без существенных, по мнению Общества, эксплуатационных дефектов возрастом не более 10-ти лет (от даты выдачи ПТС), находящиеся на регистрационном учете в подразделениях 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lastRenderedPageBreak/>
        <w:t xml:space="preserve">ГИБДД МВД России и совокупным пробегом не более 500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тыс.км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3. Прицепы и полуприцепы без существенных, по мнению Общества, эксплуатационных дефектов возрастом не более 7-ми лет (от даты выдачи ПТС), находящиеся на регистрационном учете в подразделениях ГИБДД МВД России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4. Спецтехника, самоходные машины без существенных, по мнению Обществу, эксплуатационных дефектов возрастом не более 7-ти лет (от даты выдачи ПСМ), находящиеся на регистрационном учете в ГОСТЕХНАДЗОРЕ и отвечающие требованиям к предмету залога, приведенным в «Положении о порядке работы с залоговым имуществом в АО МКК «ГФСО».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 xml:space="preserve">5. Нежилые здания/помещения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офисно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-торгового назначения, расположенные в городах Самара, Тольятти, Новокуйбышевск, Сызрань и отвечающие требованиям к предмету залога, приведенным в «Положении о порядке работы с залоговым имуществом в АО МКК «ГФСО».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Не могут являться предметом залога здания/помещения с процентом готовности ниже 100% и не обеспеченные всеми необходимыми системами инженерных коммуникаций (электроснабжение, водоснабжение, отопление, канализация).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 xml:space="preserve">6. Нежилые здания/помещения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офисно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-торгового назначения, расположенные в прочих населенных пунктах Самарской области (кроме населенных пунктов, перечисленных в п.4) площадью до 350,0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кв.м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. включительно и отвечающие требованиям к предмету залога, приведенным в «Положении о порядке работы с залоговым имуществом в АО МКК «ГФСО».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Не могут являться предметом залога здания/помещения с процентом готовности ниже 100% и не обеспеченные всеми необходимыми системами инженерных коммуникаций (электроснабжение, водоснабжение, отопление, канализация).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7. Серийное оборудование широкого профиля возрастом не более 5-ти лет и отвечающее требованиям к предмету залога, приведенным в «Положении о порядке работы с залоговым имуществом в АО МКК «ГФСО». Наличие читаемых идентификационных признаков на оборудовании (маркировка с наименованием оборудования (марка, модель и т.п.), серийным/заводским номером, год выпуска и т.п.) обязательно.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Под серийным оборудованием широкого профиля подразумевается оборудование серийного массового производства (одновременно изготавливаемое производителем большим числом), имеющее широкий круг потребителей в одной или нескольких отраслях либо среди населения.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Не может являться предметом залога по данному заемному продукту Фонда следующее оборудование: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оборудование рыночной стоимостью более 15,0 млн. руб.;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мелкосерийное оборудование;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узкоспециализированное, специфическое, нестандартное оборудование, изготавливаемое на заказ под нужды конкретного потребителя;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медицинское оборудование;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детские аттракционы;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специализированное подъемное оборудование (башенные краны, краны-штабелеры, доковые краны и т.д.);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оборудование кинотеатров;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емкостное оборудование;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оборудование химической и нефтехимической промышленности;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буровое оборудование.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lastRenderedPageBreak/>
        <w:t>***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 – Учет деятельности Заявителя ведется с использованием программного продукта “1С Предприятие”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предназначеного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для автоматизации бухгалтерского и управленческого учётов (включая начисление зарплаты и управление кадрами), экономической и организационной деятельности предприятия или иного аналогичного программного продукта (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Microsoft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Dynamics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Axapta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(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Navision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) и т.п.),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– Положительное значение раздела капитал и резервы по итогам последнего завершенного календарного года,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– Отсутствие отрицательного финансового результата (убытка) по итогам последнего завершенного календарного года, либо наличие отрицательного финансового результата (убытка) по итогам последнего завершенного календарного года в размере не более накопленной нераспределенной прибыли на конец 2020 года,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– Совокупный кредитный портфель Заявителя с учетом рассматриваемого АО МКК “ГФСО” </w:t>
      </w:r>
      <w:proofErr w:type="spellStart"/>
      <w:proofErr w:type="gram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Микрозайма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  (</w:t>
      </w:r>
      <w:proofErr w:type="gram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в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т.ч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. кредиты, займы, гарантии и т.п.), не более значения 6 среднемесячных выручек (из расчета значения выручки за последние 12 месяцев). При расчете размера совокупного кредитного портфеля допускается исключение из кредитного портфеля сумм займов, предоставленных собственником Заявителя и аффилированными юридическими лицами (в случае оформления поручительств указанных лиц по рассматриваемому АО МКК “ГФСО”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микрозайму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),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– Сумма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Микрозайма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не превышает значение раздела капитал и резервы по итогам последнего завершенного квартала, с учетом результата анализа проведенного АО МКК “ГФСО”,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– Отсутствие снижения выручки по итогам последнего завершенного календарного года в объеме, превышающем 30% (в сравнении с аналогичным периодом прошлого года).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t>**** 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Заявитель должен принять на себя обязательство о сохранении / увеличении среднесписочной численности работников (без внешних совместителей), занятых у Заявителя, по итогам календарного года, в котором получен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Микрозаем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в сравнении с предыдущим календарным годом (этот критерий не распространяется на индивидуальных предпринимателей, применяющих специальный налоговый режим «Налог на профессиональный доход»).   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t>*****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Социальное предприятие – СМСП, осуществляющий деятельность в сфере социального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имеющий в Едином реестре субъектов малого и среднего предпринимательства указание на то, что он является социальным предприятием.</w:t>
      </w:r>
    </w:p>
    <w:p w:rsidR="00CF7979" w:rsidRPr="00CF7979" w:rsidRDefault="00CF7979" w:rsidP="00CF7979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F7979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t>******</w:t>
      </w:r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 Иные требования и условия определяются Правила предоставления </w:t>
      </w:r>
      <w:proofErr w:type="spellStart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>микрозаймов</w:t>
      </w:r>
      <w:proofErr w:type="spellEnd"/>
      <w:r w:rsidRPr="00CF7979">
        <w:rPr>
          <w:rFonts w:ascii="Open Sans" w:eastAsia="Times New Roman" w:hAnsi="Open Sans" w:cs="Times New Roman"/>
          <w:sz w:val="19"/>
          <w:szCs w:val="19"/>
          <w:lang w:eastAsia="ru-RU"/>
        </w:rPr>
        <w:t xml:space="preserve"> субъектам малого и среднего предпринимательства Самарской области по антикризисным программам.</w:t>
      </w:r>
    </w:p>
    <w:p w:rsidR="00F33B2E" w:rsidRPr="00CF7979" w:rsidRDefault="00D21929">
      <w:pPr>
        <w:rPr>
          <w:b/>
          <w:sz w:val="40"/>
          <w:szCs w:val="40"/>
        </w:rPr>
      </w:pPr>
      <w:r>
        <w:rPr>
          <w:b/>
          <w:sz w:val="40"/>
          <w:szCs w:val="40"/>
        </w:rPr>
        <w:t>Т.995 13</w:t>
      </w:r>
      <w:bookmarkStart w:id="0" w:name="_GoBack"/>
      <w:bookmarkEnd w:id="0"/>
      <w:r w:rsidR="00CF7979" w:rsidRPr="00CF7979">
        <w:rPr>
          <w:b/>
          <w:sz w:val="40"/>
          <w:szCs w:val="40"/>
        </w:rPr>
        <w:t xml:space="preserve"> 65</w:t>
      </w:r>
    </w:p>
    <w:sectPr w:rsidR="00F33B2E" w:rsidRPr="00CF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8E"/>
    <w:rsid w:val="00C12F8E"/>
    <w:rsid w:val="00CF7979"/>
    <w:rsid w:val="00D21929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D755-D10D-4EFF-9B98-4F3D1E9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644">
          <w:marLeft w:val="0"/>
          <w:marRight w:val="3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163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1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64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Абдулгазимова Наталья Евгеньевна</dc:creator>
  <cp:keywords/>
  <dc:description/>
  <cp:lastModifiedBy>Абдулгазимова Наталья Евгеньевна</cp:lastModifiedBy>
  <cp:revision>3</cp:revision>
  <dcterms:created xsi:type="dcterms:W3CDTF">2023-03-10T07:51:00Z</dcterms:created>
  <dcterms:modified xsi:type="dcterms:W3CDTF">2023-03-10T07:52:00Z</dcterms:modified>
</cp:coreProperties>
</file>