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68"/>
        <w:gridCol w:w="3577"/>
        <w:gridCol w:w="3694"/>
      </w:tblGrid>
      <w:tr w:rsidR="00C75A1B" w:rsidRPr="00C75A1B" w:rsidTr="00C75A1B"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9367"/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9367"/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«МИКРОЗАЕМ ДЛЯ НАЧИНАЮЩИХ ПРЕДПРИНИМАТЕЛЕЙ НА ПРИОБРЕТЕНИЕ ИМУЩЕСТВА»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9367"/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«МИКРОЗАЕМ ОПТИМАЛЬНЫЙ ДЛЯ НАЧИНАЮЩИХ ПРЕДПРИНИМАТЕЛЕЙ»</w:t>
            </w:r>
          </w:p>
        </w:tc>
      </w:tr>
      <w:tr w:rsidR="00C75A1B" w:rsidRPr="00C75A1B" w:rsidTr="00C75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 (юридическое лицо и индивидуальный предприниматель):</w:t>
            </w:r>
          </w:p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включенный в единый реестр субъектов малого и среднего предпринимательства (</w:t>
            </w:r>
            <w:hyperlink r:id="rId6" w:history="1">
              <w:r w:rsidRPr="00C75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https://rmsp.nalog.ru/</w:t>
              </w:r>
            </w:hyperlink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зарегистрированный на территории Самарской области не более 12 (двенадцати) месяцев со дня государственной регистрации и осуществляющий  / планирующий осуществлять хозяйственную деятельность на территории Самарской области,</w:t>
            </w:r>
          </w:p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должен за счет собственных средств оплатить не менее 50% от общей стоимости приобретаемого имущества.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 (юридическое лицо и индивидуальный предприниматель):</w:t>
            </w:r>
          </w:p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включенный в единый реестр субъектов малого и среднего предпринимательства (</w:t>
            </w:r>
            <w:hyperlink r:id="rId7" w:history="1">
              <w:r w:rsidRPr="00C75A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https://rmsp.nalog.ru/</w:t>
              </w:r>
            </w:hyperlink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зарегистрированный на территории Самарской области не более 12 (двенадцати) месяцев со дня государственной регистрации и осуществляющий  / планирующий осуществлять хозяйственную деятельность на территории Самарской области.</w:t>
            </w:r>
          </w:p>
        </w:tc>
      </w:tr>
      <w:tr w:rsidR="00C75A1B" w:rsidRPr="00C75A1B" w:rsidTr="00C75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Безналичное перечисление на расчетный счет Заемщика</w:t>
            </w:r>
          </w:p>
        </w:tc>
      </w:tr>
      <w:tr w:rsidR="00C75A1B" w:rsidRPr="00C75A1B" w:rsidTr="00C75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микрозайма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75A1B" w:rsidRPr="00C75A1B" w:rsidTr="00C75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сумма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рублей</w:t>
            </w:r>
          </w:p>
        </w:tc>
      </w:tr>
      <w:tr w:rsidR="00C75A1B" w:rsidRPr="00C75A1B" w:rsidTr="00C75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сумма основного долга по договору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2 000 000 рублей, но не более 50% от стоимости приобретаемого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700 000 рублей</w:t>
            </w:r>
          </w:p>
        </w:tc>
      </w:tr>
      <w:tr w:rsidR="00C75A1B" w:rsidRPr="00C75A1B" w:rsidTr="00C75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годовых</w:t>
            </w:r>
          </w:p>
        </w:tc>
      </w:tr>
      <w:tr w:rsidR="00C75A1B" w:rsidRPr="00C75A1B" w:rsidTr="00C75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(трех) лет, а для Микрозаймов предоставляемых в рамках Лимита на сделки в Режиме повышенной готовности или режиме чрезвычайной ситуации не более 2 (двух)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(трех) лет, а для Микрозаймов предоставляемых в рамках Лимита на сделки в Режиме повышенной готовности или режиме чрезвычайной ситуации не более 2 (двух) лет</w:t>
            </w:r>
          </w:p>
        </w:tc>
      </w:tr>
      <w:tr w:rsidR="00C75A1B" w:rsidRPr="00C75A1B" w:rsidTr="00C75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деятельности Заявителя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(двенадцати) месяцев со дня государственной регистрации.</w:t>
            </w:r>
          </w:p>
        </w:tc>
      </w:tr>
      <w:tr w:rsidR="00C75A1B" w:rsidRPr="00C75A1B" w:rsidTr="00C75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поставщикам в связи с приобретением внеоборотных активов, для осуществления Заявителем предпринимательской деятельности.</w:t>
            </w:r>
          </w:p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Заемщику не допускается осуществлять платежи за счет средств Микрозайма поставщикам, являющимися участниками / учредителями Заявителя и Поручителем Заявителя и Залогодателем.</w:t>
            </w:r>
          </w:p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 имущество, приобретаемое за счет средств Микрозайма не должно быть старше 3 (трех) лет с даты его изготовления  / производства.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поставщикам (подрядчикам) за сырье, материалы, товары, работы, услуги, за исключением финансовых услуг.</w:t>
            </w:r>
          </w:p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Заемщику не допускается осуществлять платежи за счет средств Микрозайма поставщикам (подрядчикам), являющимися участниками / учредителями Заявителя и Поручителем Заявителя и Залогодателем.</w:t>
            </w:r>
          </w:p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A1B" w:rsidRPr="00C75A1B" w:rsidTr="00C75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погашения основного долга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 (определяется по результатам анализа деятельности Заявителя)</w:t>
            </w:r>
          </w:p>
        </w:tc>
      </w:tr>
      <w:tr w:rsidR="00C75A1B" w:rsidRPr="00C75A1B" w:rsidTr="00C75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погашения процентов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погашение</w:t>
            </w:r>
          </w:p>
        </w:tc>
      </w:tr>
      <w:tr w:rsidR="00C75A1B" w:rsidRPr="00C75A1B" w:rsidTr="00C75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Залог движимого и (или) недвижимого имущество, в том числе приобретаемого за счет средств Микрозайма в размере не менее 100% от суммы Микрозайма;</w:t>
            </w:r>
          </w:p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Поручительство физических и (или) юридических лиц (в дополнение к иному обеспечению (залогу).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Залог высоколиквидного</w:t>
            </w:r>
            <w:r w:rsidRPr="00C75A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**</w:t>
            </w: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мнению АО МКК “ГФСО”, движимого и (или) недвижимого имущества.</w:t>
            </w:r>
          </w:p>
          <w:p w:rsidR="00C75A1B" w:rsidRPr="00C75A1B" w:rsidRDefault="00C75A1B" w:rsidP="00C7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Поручительство физических и (или) юридических лиц (в </w:t>
            </w:r>
            <w:r w:rsidRPr="00C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дополнение к иному обеспечению (залогу).</w:t>
            </w:r>
          </w:p>
        </w:tc>
      </w:tr>
    </w:tbl>
    <w:p w:rsidR="003C16D9" w:rsidRPr="003C16D9" w:rsidRDefault="003C16D9" w:rsidP="00C75A1B">
      <w:pPr>
        <w:shd w:val="clear" w:color="auto" w:fill="FFFFFF"/>
        <w:spacing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5F5F5F"/>
          <w:sz w:val="40"/>
          <w:szCs w:val="40"/>
          <w:lang w:eastAsia="ru-RU"/>
        </w:rPr>
      </w:pPr>
      <w:bookmarkStart w:id="0" w:name="_GoBack"/>
      <w:r w:rsidRPr="003C16D9">
        <w:rPr>
          <w:rFonts w:ascii="Arial" w:eastAsia="Times New Roman" w:hAnsi="Arial" w:cs="Arial"/>
          <w:b/>
          <w:bCs/>
          <w:color w:val="5F5F5F"/>
          <w:sz w:val="40"/>
          <w:szCs w:val="40"/>
          <w:lang w:eastAsia="ru-RU"/>
        </w:rPr>
        <w:lastRenderedPageBreak/>
        <w:t>Т.995 13 65</w:t>
      </w:r>
    </w:p>
    <w:bookmarkEnd w:id="0"/>
    <w:p w:rsidR="00C75A1B" w:rsidRPr="00C75A1B" w:rsidRDefault="00C75A1B" w:rsidP="00C75A1B">
      <w:pPr>
        <w:shd w:val="clear" w:color="auto" w:fill="FFFFFF"/>
        <w:spacing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5F5F5F"/>
          <w:sz w:val="36"/>
          <w:szCs w:val="36"/>
          <w:lang w:eastAsia="ru-RU"/>
        </w:rPr>
      </w:pPr>
      <w:r w:rsidRPr="00C75A1B">
        <w:rPr>
          <w:rFonts w:ascii="Arial" w:eastAsia="Times New Roman" w:hAnsi="Arial" w:cs="Arial"/>
          <w:b/>
          <w:bCs/>
          <w:color w:val="5F5F5F"/>
          <w:sz w:val="36"/>
          <w:szCs w:val="36"/>
          <w:lang w:eastAsia="ru-RU"/>
        </w:rPr>
        <w:t>УСЛОВИЯ ПРЕДОСТАВЛЕНИЯ МИКРОЗАЙМОВ</w:t>
      </w:r>
    </w:p>
    <w:p w:rsidR="00C75A1B" w:rsidRPr="00C75A1B" w:rsidRDefault="00C75A1B" w:rsidP="00C75A1B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75A1B">
        <w:rPr>
          <w:rFonts w:ascii="Open Sans" w:eastAsia="Times New Roman" w:hAnsi="Open Sans" w:cs="Times New Roman"/>
          <w:color w:val="FF0000"/>
          <w:sz w:val="19"/>
          <w:szCs w:val="19"/>
          <w:lang w:eastAsia="ru-RU"/>
        </w:rPr>
        <w:t>*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t> Заявитель должен принять на себя обязательство о сохранении среднесписочной численности работников (без внешних совместителей), занятых у Заявителя, по итогам календарного года, в котором получен микрозаем в сравнении с предыдущим календарным годом (этот критерий не распространяется на индивидуальных предпринимателей, применяющих специальный налоговый режим «Налог на профессиональный доход»).</w:t>
      </w:r>
    </w:p>
    <w:p w:rsidR="00C75A1B" w:rsidRPr="00C75A1B" w:rsidRDefault="00C75A1B" w:rsidP="00C75A1B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75A1B">
        <w:rPr>
          <w:rFonts w:ascii="Open Sans" w:eastAsia="Times New Roman" w:hAnsi="Open Sans" w:cs="Times New Roman"/>
          <w:color w:val="FF0000"/>
          <w:sz w:val="19"/>
          <w:szCs w:val="19"/>
          <w:lang w:eastAsia="ru-RU"/>
        </w:rPr>
        <w:t>**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t> 1. Легковые автомобили без существенных, по мнению Общества, эксплуатационных дефектов возрастом не более 10-ти лет (от даты выдачи ПТС), находящиеся на регистрационном учете в подразделениях ГИБДД МВД России с совокупным пробегом не более 250 тыс. км. Не могут являться предметом залога по данному заемному продукту автомобили, эксплуатировавшиеся / планируемые к эксплуатации в такси, автошколах (учебные автомобили) и каршеринговые авто, за исключением ТС, застрахованных по программе КАСКО, с указанием в качестве выгодоприобретателя Залогодержателя.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2. Автобусы, грузовые автомобили без существенных, по мнению Общества, эксплуатационных дефектов возрастом не более 10-ти лет (от даты выдачи ПТС), находящиеся на регистрационном учете в подразделениях ГИБДД МВД России и совокупным пробегом не более 500 тыс. км.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3. Прицепы и полуприцепы без существенных, по мнению Общества, эксплуатационных дефектов возрастом не более 7-ми лет (от даты выдачи ПТС), находящиеся на регистрационном учете в подразделениях ГИБДД МВД России.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4. Спецтехника, самоходные машины без существенных, по мнению Обществу, эксплуатационных дефектов возрастом не более 7-ми лет (от даты выдачи ПСМ), находящиеся на регистрационном учете в ГОСТЕХНАДЗОРЕ и отвечающие требованиям к предмету залога, приведенным в «Положении о порядке работы с залоговым имуществом в АО МКК «ГФСО».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5. Нежилые здания/помещения офисно-торгового назначения, расположенные в городах Самара, Тольятти, Новокуйбышевск, Сызрань и отвечающие требованиям к предмету залога, приведенным в «Положении о порядке работы с залоговым имуществом в АО МКК «ГФСО».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Не могут являться предметом залога здания/помещения с процентом готовности ниже 100% и не обеспеченные всеми необходимыми системами инженерных коммуникаций (электроснабжение, водоснабжение, отопление, канализация).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6. Нежилые здания/помещения офисно-торгового назначения, расположенные в прочих населенных пунктах Самарской области (кроме населенных пунктов, перечисленных в п.4) площадью до 350,0 кв.м. включительно и отвечающие требованиям к предмету залога, приведенным в «Положении о порядке работы с залоговым имуществом в АО МКК «ГФСО».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 xml:space="preserve">Не могут являться предметом залога здания/помещения с процентом готовности ниже 100% и не обеспеченные 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lastRenderedPageBreak/>
        <w:t>всеми необходимыми системами инженерных коммуникаций (электроснабжение, водоснабжение, отопление, канализация).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7. Серийное оборудование широкого профиля возрастом не более 5-ти лет и отвечающее требованиям к предмету залога, приведенным в «Положении о порядке работы с залоговым имуществом в АО МКК «ГФСО». Наличие читаемых идентификационных признаков на оборудовании (маркировка с наименованием оборудования (марка, модель и т.п.), серийным/заводским номером, год выпуска и т.п.) обязательно.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Под серийным оборудованием широкого профиля подразумевается оборудование серийного массового производства (одновременно изготавливаемое производителем большим числом), имеющее широкий круг потребителей в одной или нескольких отраслях либо среди населения.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Не может являться предметом залога по данному заемному продукту Фонда следующее оборудование: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оборудование рыночной стоимостью более 15,0 млн. руб.;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мелкосерийное оборудование;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узкоспециализированное, специфическое, нестандартное оборудование, изготавливаемое на заказ под нужды конкретного потребителя;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медицинское оборудование;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детские аттракционы;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специализированное подъемное оборудование (башенные краны, краны-штабелеры, доковые краны и т.д.);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оборудование кинотеатров;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емкостное оборудование;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оборудование химической и нефтехимической промышленности;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br/>
        <w:t>• буровое оборудование.</w:t>
      </w:r>
    </w:p>
    <w:p w:rsidR="00C75A1B" w:rsidRPr="00C75A1B" w:rsidRDefault="00C75A1B" w:rsidP="00C75A1B">
      <w:pPr>
        <w:spacing w:after="100" w:afterAutospacing="1" w:line="360" w:lineRule="atLeast"/>
        <w:rPr>
          <w:rFonts w:ascii="Open Sans" w:eastAsia="Times New Roman" w:hAnsi="Open Sans" w:cs="Times New Roman"/>
          <w:sz w:val="19"/>
          <w:szCs w:val="19"/>
          <w:lang w:eastAsia="ru-RU"/>
        </w:rPr>
      </w:pPr>
      <w:r w:rsidRPr="00C75A1B">
        <w:rPr>
          <w:rFonts w:ascii="Open Sans" w:eastAsia="Times New Roman" w:hAnsi="Open Sans" w:cs="Times New Roman"/>
          <w:color w:val="FF0000"/>
          <w:sz w:val="19"/>
          <w:szCs w:val="19"/>
          <w:lang w:eastAsia="ru-RU"/>
        </w:rPr>
        <w:t>*** </w:t>
      </w:r>
      <w:r w:rsidRPr="00C75A1B">
        <w:rPr>
          <w:rFonts w:ascii="Open Sans" w:eastAsia="Times New Roman" w:hAnsi="Open Sans" w:cs="Times New Roman"/>
          <w:sz w:val="19"/>
          <w:szCs w:val="19"/>
          <w:lang w:eastAsia="ru-RU"/>
        </w:rPr>
        <w:t>Иные требования и условия определяются Правила предоставления микрозаймов субъектам малого и среднего предпринимательства Самарской области по антикризисным программам.</w:t>
      </w:r>
    </w:p>
    <w:p w:rsidR="00CA57B8" w:rsidRDefault="00CA57B8"/>
    <w:sectPr w:rsidR="00CA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6C" w:rsidRDefault="0085236C" w:rsidP="00C75A1B">
      <w:pPr>
        <w:spacing w:after="0" w:line="240" w:lineRule="auto"/>
      </w:pPr>
      <w:r>
        <w:separator/>
      </w:r>
    </w:p>
  </w:endnote>
  <w:endnote w:type="continuationSeparator" w:id="0">
    <w:p w:rsidR="0085236C" w:rsidRDefault="0085236C" w:rsidP="00C7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6C" w:rsidRDefault="0085236C" w:rsidP="00C75A1B">
      <w:pPr>
        <w:spacing w:after="0" w:line="240" w:lineRule="auto"/>
      </w:pPr>
      <w:r>
        <w:separator/>
      </w:r>
    </w:p>
  </w:footnote>
  <w:footnote w:type="continuationSeparator" w:id="0">
    <w:p w:rsidR="0085236C" w:rsidRDefault="0085236C" w:rsidP="00C75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5A"/>
    <w:rsid w:val="003C16D9"/>
    <w:rsid w:val="0085236C"/>
    <w:rsid w:val="009D535A"/>
    <w:rsid w:val="00C75A1B"/>
    <w:rsid w:val="00C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B3118-1B51-4EB0-B228-0D52B8BA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A1B"/>
  </w:style>
  <w:style w:type="paragraph" w:styleId="a5">
    <w:name w:val="footer"/>
    <w:basedOn w:val="a"/>
    <w:link w:val="a6"/>
    <w:uiPriority w:val="99"/>
    <w:unhideWhenUsed/>
    <w:rsid w:val="00C7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879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7616">
                      <w:marLeft w:val="0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7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msp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Абдулгазимова Наталья Евгеньевна</dc:creator>
  <cp:keywords/>
  <dc:description/>
  <cp:lastModifiedBy>Абдулгазимова Наталья Евгеньевна</cp:lastModifiedBy>
  <cp:revision>3</cp:revision>
  <dcterms:created xsi:type="dcterms:W3CDTF">2023-03-10T07:55:00Z</dcterms:created>
  <dcterms:modified xsi:type="dcterms:W3CDTF">2023-03-10T08:07:00Z</dcterms:modified>
</cp:coreProperties>
</file>