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8FA5B" w14:textId="77777777" w:rsidR="00E8161B" w:rsidRPr="00E8161B" w:rsidRDefault="00E8161B" w:rsidP="00E8161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8161B">
        <w:rPr>
          <w:color w:val="000000"/>
          <w:sz w:val="28"/>
          <w:szCs w:val="28"/>
        </w:rPr>
        <w:t>Приложение</w:t>
      </w:r>
    </w:p>
    <w:p w14:paraId="1B492BD5" w14:textId="77777777" w:rsidR="00E8161B" w:rsidRPr="00E8161B" w:rsidRDefault="00E8161B" w:rsidP="00E8161B">
      <w:pPr>
        <w:ind w:left="4536"/>
        <w:jc w:val="center"/>
        <w:rPr>
          <w:color w:val="000000"/>
          <w:sz w:val="28"/>
          <w:szCs w:val="28"/>
        </w:rPr>
      </w:pPr>
      <w:r w:rsidRPr="00E8161B">
        <w:rPr>
          <w:color w:val="000000"/>
          <w:sz w:val="28"/>
          <w:szCs w:val="28"/>
        </w:rPr>
        <w:t>к постановлению Администрации Кировского внутригородского района городского округа Самара</w:t>
      </w:r>
    </w:p>
    <w:p w14:paraId="61235BC0" w14:textId="77777777" w:rsidR="00E8161B" w:rsidRPr="00E8161B" w:rsidRDefault="00E8161B" w:rsidP="00E8161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8161B">
        <w:rPr>
          <w:color w:val="000000"/>
          <w:sz w:val="28"/>
          <w:szCs w:val="28"/>
        </w:rPr>
        <w:t>от __________ 2021 № ___________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4599DAB9" w:rsidR="0060606B" w:rsidRPr="006D4B03" w:rsidRDefault="00582A81" w:rsidP="00E8161B">
      <w:pPr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E8161B" w:rsidRPr="00E8161B">
        <w:rPr>
          <w:b/>
          <w:bCs/>
          <w:color w:val="000000" w:themeColor="text1"/>
          <w:sz w:val="28"/>
          <w:szCs w:val="28"/>
        </w:rPr>
        <w:t>Кировского внутригородского района городского округа Самара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1374E370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E8161B">
        <w:rPr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</w:t>
      </w:r>
      <w:r w:rsidR="00E8161B">
        <w:rPr>
          <w:color w:val="000000"/>
          <w:sz w:val="28"/>
          <w:szCs w:val="28"/>
        </w:rPr>
        <w:t xml:space="preserve">                              </w:t>
      </w:r>
      <w:r w:rsidR="00D41C61" w:rsidRPr="00D16ADB">
        <w:rPr>
          <w:color w:val="000000"/>
          <w:sz w:val="28"/>
          <w:szCs w:val="28"/>
        </w:rPr>
        <w:t>за нарушение которых законодательством предусмотрена административная ответственность.</w:t>
      </w:r>
    </w:p>
    <w:p w14:paraId="0AF964E6" w14:textId="30BC685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E8161B" w:rsidRPr="00E8161B">
        <w:rPr>
          <w:rFonts w:ascii="Times New Roman" w:hAnsi="Times New Roman" w:cs="Times New Roman"/>
          <w:color w:val="000000"/>
          <w:sz w:val="28"/>
          <w:szCs w:val="28"/>
        </w:rPr>
        <w:t>Кировского внутригородского района городского округа Самара</w:t>
      </w:r>
      <w:r w:rsidR="003657B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Кировский район)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1CA0901E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56C58A17" w14:textId="5BF68B42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2) обязательных требований об использовании земельных участков </w:t>
      </w:r>
      <w:r w:rsidR="00365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34F8139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C1D64F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EB80C5D" w14:textId="701BD7E4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</w:t>
      </w:r>
      <w:r w:rsidR="003657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их компетенции.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0911CA" w14:textId="53FAC3FD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DE0C9D">
        <w:rPr>
          <w:color w:val="000000" w:themeColor="text1"/>
          <w:sz w:val="28"/>
          <w:szCs w:val="28"/>
        </w:rPr>
        <w:t>А</w:t>
      </w:r>
      <w:r w:rsidRPr="008C11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DE0C9D" w:rsidRPr="00DE0C9D">
        <w:rPr>
          <w:color w:val="000000"/>
          <w:sz w:val="28"/>
          <w:szCs w:val="28"/>
        </w:rPr>
        <w:t>Кировского внутригородского района городского округа Самара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</w:t>
      </w:r>
      <w:r w:rsidR="00DE0C9D" w:rsidRPr="00DE0C9D">
        <w:rPr>
          <w:color w:val="000000"/>
          <w:sz w:val="28"/>
          <w:szCs w:val="28"/>
        </w:rPr>
        <w:t>далее – Администрация района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утверждения настоящей программы профилактики включала </w:t>
      </w:r>
      <w:r w:rsidR="00DE0C9D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в себя:</w:t>
      </w:r>
    </w:p>
    <w:p w14:paraId="24BCC179" w14:textId="5E353272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 w:rsidR="00DE0C9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="00DE0C9D">
        <w:rPr>
          <w:color w:val="000000"/>
          <w:sz w:val="28"/>
          <w:szCs w:val="28"/>
        </w:rPr>
        <w:t xml:space="preserve"> района                       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="00DE0C9D">
        <w:rPr>
          <w:color w:val="000000"/>
          <w:sz w:val="28"/>
          <w:szCs w:val="28"/>
        </w:rPr>
        <w:t>А</w:t>
      </w:r>
      <w:r w:rsidRPr="008C11DF">
        <w:rPr>
          <w:color w:val="000000"/>
          <w:sz w:val="28"/>
          <w:szCs w:val="28"/>
        </w:rPr>
        <w:t>дминистрации</w:t>
      </w:r>
      <w:r w:rsidR="00DE0C9D">
        <w:rPr>
          <w:color w:val="000000"/>
          <w:sz w:val="28"/>
          <w:szCs w:val="28"/>
        </w:rPr>
        <w:t xml:space="preserve"> района</w:t>
      </w:r>
      <w:r w:rsidRPr="008C11DF">
        <w:rPr>
          <w:color w:val="000000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451DFA76" w14:textId="02F63304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</w:t>
      </w:r>
      <w:r w:rsidR="00125E18">
        <w:rPr>
          <w:color w:val="000000" w:themeColor="text1"/>
          <w:sz w:val="28"/>
          <w:szCs w:val="28"/>
        </w:rPr>
        <w:t>муниципальными правовыми актами;</w:t>
      </w:r>
      <w:r w:rsidRPr="007E2A9F">
        <w:rPr>
          <w:color w:val="000000" w:themeColor="text1"/>
          <w:sz w:val="28"/>
          <w:szCs w:val="28"/>
        </w:rPr>
        <w:t xml:space="preserve"> </w:t>
      </w:r>
    </w:p>
    <w:p w14:paraId="094B41C2" w14:textId="514390B3" w:rsidR="007E2A9F" w:rsidRPr="007E2A9F" w:rsidRDefault="00125E18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 w:rsidR="00A458F1"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 w:rsidR="00A458F1"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 w:rsidR="00A458F1"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 w:rsidR="00A458F1"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 w:rsidR="00A458F1"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</w:t>
      </w:r>
      <w:r>
        <w:rPr>
          <w:color w:val="000000" w:themeColor="text1"/>
          <w:sz w:val="28"/>
          <w:szCs w:val="28"/>
        </w:rPr>
        <w:t>муниципальными правовыми актами;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</w:p>
    <w:p w14:paraId="27265CBC" w14:textId="7D31469C" w:rsidR="007E2A9F" w:rsidRPr="007E2A9F" w:rsidRDefault="00125E18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выда</w:t>
      </w:r>
      <w:r w:rsidR="00A458F1"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 w:rsidR="00A458F1"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58F24CB1" w14:textId="123A5B04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21A52550" w14:textId="78BF6D8D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08ECAE7" w14:textId="65C2D87A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</w:t>
      </w:r>
      <w:r w:rsidR="00DE0C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их принадлежностью к той или иной категории земель </w:t>
      </w:r>
      <w:r w:rsidR="00DE0C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375CAE" w14:textId="5A86ECB4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земель, предназначенных для жилищного или иного строительства, садоводства, огородничества, в указанных целях </w:t>
      </w:r>
      <w:r w:rsidR="00DE0C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в течение установленного срока;</w:t>
      </w:r>
    </w:p>
    <w:p w14:paraId="003B9299" w14:textId="4DC7F999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</w:t>
      </w:r>
      <w:r w:rsidR="00DE0C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назначению.</w:t>
      </w:r>
    </w:p>
    <w:p w14:paraId="0F2899DD" w14:textId="666EBF10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</w:t>
      </w:r>
      <w:r w:rsidR="00DE0C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3009A7A" w14:textId="7B63F9C2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в соответствии с их принадлежностью </w:t>
      </w:r>
      <w:r w:rsidR="00DE0C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287736F0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116CBB2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76D7FCEC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14:paraId="0BAD8A7D" w14:textId="6EA3F12F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591C1F2A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5F9F8A7" w14:textId="4BCA64B4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614F282D" w14:textId="78035E0B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</w:t>
      </w:r>
      <w:r w:rsidR="00DE0C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6BEC15D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072534EB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 xml:space="preserve">2) устранение условий, причин и факторов, способных привести </w:t>
      </w:r>
      <w:r w:rsidR="00DE0C9D">
        <w:rPr>
          <w:color w:val="000000" w:themeColor="text1"/>
          <w:sz w:val="28"/>
          <w:szCs w:val="28"/>
        </w:rPr>
        <w:t xml:space="preserve">                 </w:t>
      </w:r>
      <w:r w:rsidRPr="0076056A">
        <w:rPr>
          <w:color w:val="000000" w:themeColor="text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228AD4B1" w14:textId="578C49D8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 xml:space="preserve">3) создание условий для доведения обязательных требований </w:t>
      </w:r>
      <w:r w:rsidR="00DE0C9D">
        <w:rPr>
          <w:color w:val="000000" w:themeColor="text1"/>
          <w:sz w:val="28"/>
          <w:szCs w:val="28"/>
        </w:rPr>
        <w:t xml:space="preserve">                  </w:t>
      </w:r>
      <w:r w:rsidRPr="0076056A">
        <w:rPr>
          <w:color w:val="000000" w:themeColor="text1"/>
          <w:sz w:val="28"/>
          <w:szCs w:val="28"/>
        </w:rPr>
        <w:t xml:space="preserve">до контролируемых лиц, повышение информированности о способах </w:t>
      </w:r>
      <w:r w:rsidR="00DE0C9D">
        <w:rPr>
          <w:color w:val="000000" w:themeColor="text1"/>
          <w:sz w:val="28"/>
          <w:szCs w:val="28"/>
        </w:rPr>
        <w:t xml:space="preserve">                  </w:t>
      </w:r>
      <w:r w:rsidRPr="0076056A">
        <w:rPr>
          <w:color w:val="000000" w:themeColor="text1"/>
          <w:sz w:val="28"/>
          <w:szCs w:val="28"/>
        </w:rPr>
        <w:t>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6344C88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186861FD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>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5A84CFBD" w14:textId="77777777" w:rsidR="00125E18" w:rsidRDefault="00125E18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4"/>
        <w:gridCol w:w="3122"/>
        <w:gridCol w:w="1990"/>
        <w:gridCol w:w="1940"/>
      </w:tblGrid>
      <w:tr w:rsidR="007934FC" w:rsidRPr="003C5466" w14:paraId="2E017382" w14:textId="77777777" w:rsidTr="00125E18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3657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3657B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3657B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3657B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3657B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125E18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3657B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F680E1D" w:rsidR="00226AC2" w:rsidRDefault="00226AC2" w:rsidP="003657B3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</w:t>
            </w:r>
            <w:r w:rsidR="00BC713A">
              <w:rPr>
                <w:color w:val="000000"/>
              </w:rPr>
              <w:t>Администрации района</w:t>
            </w:r>
            <w:r w:rsidRPr="00511034">
              <w:rPr>
                <w:color w:val="000000"/>
              </w:rPr>
              <w:t xml:space="preserve"> в разделе «Контрольно-надзорная деятельность»</w:t>
            </w:r>
          </w:p>
          <w:p w14:paraId="6B0A0E70" w14:textId="7411D8D7" w:rsidR="00226AC2" w:rsidRDefault="00226AC2" w:rsidP="003657B3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3657B3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3657B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1BA5C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Органы (должностные лица), уполномоченные</w:t>
            </w:r>
          </w:p>
          <w:p w14:paraId="39B724B4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на осуществление муниципального контроля</w:t>
            </w:r>
          </w:p>
          <w:p w14:paraId="73998D7B" w14:textId="4207D998" w:rsidR="001635A8" w:rsidRDefault="00685B1F" w:rsidP="00685B1F">
            <w:pPr>
              <w:jc w:val="center"/>
              <w:rPr>
                <w:i/>
                <w:iCs/>
                <w:color w:val="000000" w:themeColor="text1"/>
              </w:rPr>
            </w:pPr>
            <w:r w:rsidRPr="00685B1F">
              <w:rPr>
                <w:color w:val="000000" w:themeColor="text1"/>
              </w:rPr>
              <w:t>в соответствующей сфере деятельности</w:t>
            </w:r>
          </w:p>
          <w:p w14:paraId="6F3F07CE" w14:textId="6138E59B" w:rsidR="00226AC2" w:rsidRPr="00926515" w:rsidRDefault="00226AC2" w:rsidP="00685B1F">
            <w:pPr>
              <w:jc w:val="center"/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125E18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365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3657B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7780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Органы (должностные лица), уполномоченные</w:t>
            </w:r>
          </w:p>
          <w:p w14:paraId="17D36C54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на осуществление муниципального контроля</w:t>
            </w:r>
          </w:p>
          <w:p w14:paraId="07FDAB16" w14:textId="24EF8B8A" w:rsidR="00226AC2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в соответствующей сфере деятельности</w:t>
            </w:r>
          </w:p>
        </w:tc>
      </w:tr>
      <w:tr w:rsidR="00B353F3" w:rsidRPr="003C5466" w14:paraId="2E085E11" w14:textId="77777777" w:rsidTr="00125E18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26AC2" w:rsidRPr="00926515" w:rsidRDefault="00226AC2" w:rsidP="003657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3657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3657B3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3CE5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Органы (должностные лица), уполномоченные</w:t>
            </w:r>
          </w:p>
          <w:p w14:paraId="72910C4F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на осуществление муниципального контроля</w:t>
            </w:r>
          </w:p>
          <w:p w14:paraId="5C39BCAF" w14:textId="41921ADA" w:rsidR="00226AC2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в соответствующей сфере деятельности</w:t>
            </w:r>
          </w:p>
        </w:tc>
      </w:tr>
      <w:tr w:rsidR="00B353F3" w:rsidRPr="003C5466" w14:paraId="3E8B563C" w14:textId="77777777" w:rsidTr="00125E18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77777777" w:rsidR="001B3930" w:rsidRPr="00926515" w:rsidRDefault="001B3930" w:rsidP="003657B3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57D9EDEC" w:rsidR="001B3930" w:rsidRDefault="001B3930" w:rsidP="003657B3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3657B3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3657B3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4256926" w:rsidR="001B3930" w:rsidRPr="00926515" w:rsidRDefault="001B3930" w:rsidP="003657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1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06A2C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Органы (должностные лица), уполномоченные</w:t>
            </w:r>
          </w:p>
          <w:p w14:paraId="51A60E59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на осуществление муниципального контроля</w:t>
            </w:r>
          </w:p>
          <w:p w14:paraId="1B68774C" w14:textId="6A81499E" w:rsidR="001635A8" w:rsidRDefault="00685B1F" w:rsidP="00685B1F">
            <w:pPr>
              <w:jc w:val="center"/>
              <w:rPr>
                <w:i/>
                <w:iCs/>
                <w:color w:val="000000" w:themeColor="text1"/>
              </w:rPr>
            </w:pPr>
            <w:r w:rsidRPr="00685B1F">
              <w:rPr>
                <w:color w:val="000000" w:themeColor="text1"/>
              </w:rPr>
              <w:t>в соответствующей сфере деятельности</w:t>
            </w:r>
          </w:p>
          <w:p w14:paraId="3F0F06F9" w14:textId="773CCF1A" w:rsidR="001B3930" w:rsidRPr="00926515" w:rsidRDefault="001B3930" w:rsidP="00685B1F">
            <w:pPr>
              <w:jc w:val="center"/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125E18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746E613A" w:rsidR="001B3930" w:rsidRPr="00926515" w:rsidRDefault="001B3930" w:rsidP="00125E18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</w:t>
            </w:r>
            <w:r w:rsidR="00125E18">
              <w:rPr>
                <w:color w:val="000000"/>
              </w:rPr>
              <w:t>А</w:t>
            </w:r>
            <w:r w:rsidRPr="00511034">
              <w:rPr>
                <w:color w:val="000000"/>
              </w:rPr>
              <w:t xml:space="preserve">дминистрации </w:t>
            </w:r>
            <w:r w:rsidR="00125E18">
              <w:rPr>
                <w:color w:val="000000"/>
              </w:rPr>
              <w:t xml:space="preserve">района </w:t>
            </w:r>
            <w:r w:rsidRPr="00511034">
              <w:rPr>
                <w:color w:val="000000"/>
              </w:rPr>
              <w:t>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6EADF5C9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2B06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Органы (должностные лица), уполномоченные</w:t>
            </w:r>
          </w:p>
          <w:p w14:paraId="6C6C7199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на осуществление муниципального контроля</w:t>
            </w:r>
          </w:p>
          <w:p w14:paraId="0E05B675" w14:textId="174EF46B" w:rsidR="001B3930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в соответствующей сфере деятельности</w:t>
            </w:r>
          </w:p>
        </w:tc>
      </w:tr>
      <w:tr w:rsidR="00B353F3" w:rsidRPr="003C5466" w14:paraId="1C3D3CEC" w14:textId="77777777" w:rsidTr="00125E18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153AB303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6083E4C1"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125E18">
              <w:rPr>
                <w:color w:val="000000" w:themeColor="text1"/>
              </w:rPr>
              <w:t xml:space="preserve"> в случае наличия у А</w:t>
            </w:r>
            <w:r w:rsidRPr="00D5164C">
              <w:rPr>
                <w:color w:val="000000" w:themeColor="text1"/>
              </w:rPr>
              <w:t>дминистрации</w:t>
            </w:r>
            <w:r w:rsidR="00125E18">
              <w:rPr>
                <w:color w:val="000000" w:themeColor="text1"/>
              </w:rPr>
              <w:t xml:space="preserve"> района</w:t>
            </w:r>
            <w:r w:rsidRPr="00D5164C">
              <w:rPr>
                <w:color w:val="000000" w:themeColor="text1"/>
              </w:rPr>
              <w:t xml:space="preserve">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D5164C">
              <w:rPr>
                <w:color w:val="000000" w:themeColor="text1"/>
              </w:rPr>
              <w:lastRenderedPageBreak/>
              <w:t>ценностям либо создало угрозу причинения вреда (ущерба</w:t>
            </w:r>
            <w:proofErr w:type="gramEnd"/>
            <w:r w:rsidRPr="00D5164C">
              <w:rPr>
                <w:color w:val="000000" w:themeColor="text1"/>
              </w:rPr>
              <w:t>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681C5DD7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</w:t>
            </w:r>
            <w:r w:rsidR="00105A56">
              <w:rPr>
                <w:color w:val="000000"/>
              </w:rPr>
              <w:t xml:space="preserve">календарных </w:t>
            </w:r>
            <w:r w:rsidRPr="000066FA">
              <w:rPr>
                <w:color w:val="000000"/>
              </w:rPr>
              <w:t xml:space="preserve">дней со дня получения </w:t>
            </w:r>
            <w:r w:rsidR="00685B1F">
              <w:rPr>
                <w:color w:val="000000"/>
              </w:rPr>
              <w:t>Администрацией</w:t>
            </w:r>
            <w:r w:rsidR="00685B1F" w:rsidRPr="00685B1F">
              <w:rPr>
                <w:color w:val="000000"/>
              </w:rPr>
              <w:t xml:space="preserve"> района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2D6E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Органы (должностные лица), уполномоченные</w:t>
            </w:r>
          </w:p>
          <w:p w14:paraId="6709D5C3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на осуществление муниципального контроля</w:t>
            </w:r>
          </w:p>
          <w:p w14:paraId="1C379AE0" w14:textId="7F5A7CF7" w:rsidR="000066FA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в соответствующей сфере деятельности</w:t>
            </w:r>
          </w:p>
        </w:tc>
      </w:tr>
      <w:tr w:rsidR="007934FC" w:rsidRPr="003C5466" w14:paraId="6288672C" w14:textId="77777777" w:rsidTr="00125E18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5E0AC92C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5ACBBB8C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75509BA2" w14:textId="6F37DAC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мероприятий, установленных Положением о муниципальном земельном контроле в границах</w:t>
            </w:r>
            <w:r w:rsidR="00685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района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06F9A1A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6F8D7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Органы (должностные лица), уполномоченные</w:t>
            </w:r>
          </w:p>
          <w:p w14:paraId="18F52F58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на осуществление муниципального контроля</w:t>
            </w:r>
          </w:p>
          <w:p w14:paraId="7A4FCD6A" w14:textId="11260848" w:rsidR="006E0E86" w:rsidRPr="00926515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в соответствующей сфере деятельности</w:t>
            </w:r>
          </w:p>
        </w:tc>
      </w:tr>
      <w:tr w:rsidR="00125E18" w:rsidRPr="003C5466" w14:paraId="46F61CFB" w14:textId="77777777" w:rsidTr="00125E18">
        <w:trPr>
          <w:trHeight w:val="4398"/>
        </w:trPr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125E18" w:rsidRDefault="00125E18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125E18" w:rsidRPr="00C837AD" w:rsidRDefault="00125E18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EBE4F0" w14:textId="50614921" w:rsidR="00125E18" w:rsidRDefault="00125E18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1A280E" w14:textId="59F1F994" w:rsidR="00125E18" w:rsidRPr="000066FA" w:rsidRDefault="00125E18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</w:t>
            </w:r>
            <w:r w:rsidR="00105A56">
              <w:rPr>
                <w:color w:val="000000"/>
              </w:rPr>
              <w:t>календарных</w:t>
            </w:r>
            <w:r w:rsidR="00105A56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дней со дня регистрации </w:t>
            </w:r>
            <w:r w:rsidRPr="00685B1F">
              <w:rPr>
                <w:color w:val="000000" w:themeColor="text1"/>
              </w:rPr>
              <w:t>Администраци</w:t>
            </w:r>
            <w:r>
              <w:rPr>
                <w:color w:val="000000" w:themeColor="text1"/>
              </w:rPr>
              <w:t>ей</w:t>
            </w:r>
            <w:r w:rsidRPr="00685B1F">
              <w:rPr>
                <w:color w:val="000000" w:themeColor="text1"/>
              </w:rPr>
              <w:t xml:space="preserve"> района </w:t>
            </w:r>
            <w:r>
              <w:rPr>
                <w:color w:val="000000" w:themeColor="text1"/>
              </w:rPr>
              <w:t>письменного обращения, если более короткий срок не предусмотрен законодательством</w:t>
            </w:r>
          </w:p>
          <w:p w14:paraId="4DBAA759" w14:textId="77777777" w:rsidR="00125E18" w:rsidRDefault="00125E18" w:rsidP="006E0E86">
            <w:pPr>
              <w:rPr>
                <w:color w:val="000000" w:themeColor="text1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8740F" w14:textId="77777777" w:rsidR="00125E18" w:rsidRPr="00685B1F" w:rsidRDefault="00125E18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Органы (должностные лица), уполномоченные</w:t>
            </w:r>
          </w:p>
          <w:p w14:paraId="49D94648" w14:textId="77777777" w:rsidR="00125E18" w:rsidRPr="00685B1F" w:rsidRDefault="00125E18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на осуществление муниципального контроля</w:t>
            </w:r>
          </w:p>
          <w:p w14:paraId="0CB2EB36" w14:textId="2F6A021D" w:rsidR="00125E18" w:rsidRDefault="00125E18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в соответствующей сфере деятельности</w:t>
            </w:r>
          </w:p>
        </w:tc>
      </w:tr>
      <w:tr w:rsidR="00B353F3" w:rsidRPr="003C5466" w14:paraId="3D26772D" w14:textId="77777777" w:rsidTr="00125E18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C195D8B" w:rsidR="00B353F3" w:rsidRPr="007934FC" w:rsidRDefault="00125E18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="007934FC"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34D26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</w:rPr>
              <w:lastRenderedPageBreak/>
              <w:t>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58D0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lastRenderedPageBreak/>
              <w:t>Органы (должностные лица), уполномоченные</w:t>
            </w:r>
          </w:p>
          <w:p w14:paraId="69BAD2D7" w14:textId="77777777" w:rsidR="00685B1F" w:rsidRPr="00685B1F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>на осуществление муниципального контроля</w:t>
            </w:r>
          </w:p>
          <w:p w14:paraId="371F0C45" w14:textId="3F37738C" w:rsidR="00B353F3" w:rsidRDefault="00685B1F" w:rsidP="00685B1F">
            <w:pPr>
              <w:jc w:val="center"/>
              <w:rPr>
                <w:color w:val="000000" w:themeColor="text1"/>
              </w:rPr>
            </w:pPr>
            <w:r w:rsidRPr="00685B1F">
              <w:rPr>
                <w:color w:val="000000" w:themeColor="text1"/>
              </w:rPr>
              <w:t xml:space="preserve">в </w:t>
            </w:r>
            <w:r w:rsidRPr="00685B1F">
              <w:rPr>
                <w:color w:val="000000" w:themeColor="text1"/>
              </w:rPr>
              <w:lastRenderedPageBreak/>
              <w:t>соответствующей сфере деятельности</w:t>
            </w:r>
          </w:p>
        </w:tc>
      </w:tr>
    </w:tbl>
    <w:p w14:paraId="14E0668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7D4B0BDE" w14:textId="77777777" w:rsidR="00685B1F" w:rsidRDefault="00685B1F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8"/>
          <w:szCs w:val="28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3948"/>
      </w:tblGrid>
      <w:tr w:rsidR="00685B1F" w:rsidRPr="00685B1F" w14:paraId="49607BC4" w14:textId="77777777" w:rsidTr="00327F79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E78AB" w14:textId="77777777" w:rsidR="00685B1F" w:rsidRPr="00685B1F" w:rsidRDefault="00685B1F" w:rsidP="00685B1F">
            <w:pPr>
              <w:jc w:val="center"/>
              <w:rPr>
                <w:sz w:val="27"/>
                <w:szCs w:val="27"/>
              </w:rPr>
            </w:pPr>
            <w:r w:rsidRPr="00685B1F">
              <w:rPr>
                <w:sz w:val="27"/>
                <w:szCs w:val="27"/>
              </w:rPr>
              <w:t>№</w:t>
            </w:r>
          </w:p>
          <w:p w14:paraId="44982BF6" w14:textId="77777777" w:rsidR="00685B1F" w:rsidRPr="00685B1F" w:rsidRDefault="00685B1F" w:rsidP="00685B1F">
            <w:pPr>
              <w:jc w:val="center"/>
              <w:rPr>
                <w:sz w:val="27"/>
                <w:szCs w:val="27"/>
              </w:rPr>
            </w:pPr>
            <w:proofErr w:type="gramStart"/>
            <w:r w:rsidRPr="00685B1F">
              <w:rPr>
                <w:sz w:val="27"/>
                <w:szCs w:val="27"/>
              </w:rPr>
              <w:t>п</w:t>
            </w:r>
            <w:proofErr w:type="gramEnd"/>
            <w:r w:rsidRPr="00685B1F">
              <w:rPr>
                <w:sz w:val="27"/>
                <w:szCs w:val="27"/>
              </w:rPr>
              <w:t>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B4F2A" w14:textId="77777777" w:rsidR="00685B1F" w:rsidRPr="00685B1F" w:rsidRDefault="00685B1F" w:rsidP="00685B1F">
            <w:pPr>
              <w:jc w:val="center"/>
              <w:rPr>
                <w:sz w:val="27"/>
                <w:szCs w:val="27"/>
              </w:rPr>
            </w:pPr>
            <w:r w:rsidRPr="00685B1F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8CD16" w14:textId="77777777" w:rsidR="00685B1F" w:rsidRPr="00685B1F" w:rsidRDefault="00685B1F" w:rsidP="00685B1F">
            <w:pPr>
              <w:jc w:val="center"/>
              <w:rPr>
                <w:sz w:val="27"/>
                <w:szCs w:val="27"/>
              </w:rPr>
            </w:pPr>
            <w:r w:rsidRPr="00685B1F">
              <w:rPr>
                <w:sz w:val="27"/>
                <w:szCs w:val="27"/>
              </w:rPr>
              <w:t>Величина</w:t>
            </w:r>
          </w:p>
        </w:tc>
      </w:tr>
      <w:tr w:rsidR="00685B1F" w:rsidRPr="00685B1F" w14:paraId="6F471BFB" w14:textId="77777777" w:rsidTr="00327F79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8DF94" w14:textId="77777777" w:rsidR="00685B1F" w:rsidRPr="00685B1F" w:rsidRDefault="00685B1F" w:rsidP="00685B1F">
            <w:pPr>
              <w:ind w:firstLine="567"/>
              <w:jc w:val="center"/>
              <w:rPr>
                <w:sz w:val="27"/>
                <w:szCs w:val="27"/>
              </w:rPr>
            </w:pPr>
            <w:r w:rsidRPr="00685B1F">
              <w:rPr>
                <w:sz w:val="27"/>
                <w:szCs w:val="27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5EE48" w14:textId="77777777" w:rsidR="00685B1F" w:rsidRPr="00685B1F" w:rsidRDefault="00685B1F" w:rsidP="00685B1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7"/>
                <w:szCs w:val="27"/>
              </w:rPr>
            </w:pPr>
            <w:r w:rsidRPr="00685B1F">
              <w:rPr>
                <w:sz w:val="27"/>
                <w:szCs w:val="27"/>
              </w:rPr>
              <w:t>Полнота информации, размещенной                на официальном сайте контрольного органа в сети «Интернет» в соответствии              с частью 3 статьи 46 Федерального закона от 31.07.2021 г. № 248-ФЗ                            «О государственном контроле (надзоре)                    и муниципальном контроле в Российской Федерации»</w:t>
            </w:r>
          </w:p>
          <w:p w14:paraId="1F331EDE" w14:textId="77777777" w:rsidR="00685B1F" w:rsidRPr="00685B1F" w:rsidRDefault="00685B1F" w:rsidP="00685B1F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3F4E8" w14:textId="77777777" w:rsidR="00685B1F" w:rsidRPr="00685B1F" w:rsidRDefault="00685B1F" w:rsidP="00685B1F">
            <w:pPr>
              <w:jc w:val="center"/>
              <w:rPr>
                <w:sz w:val="27"/>
                <w:szCs w:val="27"/>
              </w:rPr>
            </w:pPr>
            <w:r w:rsidRPr="00685B1F">
              <w:rPr>
                <w:sz w:val="27"/>
                <w:szCs w:val="27"/>
              </w:rPr>
              <w:t>100%</w:t>
            </w:r>
          </w:p>
        </w:tc>
      </w:tr>
      <w:tr w:rsidR="00685B1F" w:rsidRPr="00685B1F" w14:paraId="16EE3888" w14:textId="77777777" w:rsidTr="00327F79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952C3" w14:textId="77777777" w:rsidR="00685B1F" w:rsidRPr="00685B1F" w:rsidRDefault="00685B1F" w:rsidP="00685B1F">
            <w:pPr>
              <w:ind w:firstLine="567"/>
              <w:jc w:val="center"/>
              <w:rPr>
                <w:sz w:val="27"/>
                <w:szCs w:val="27"/>
              </w:rPr>
            </w:pPr>
            <w:r w:rsidRPr="00685B1F">
              <w:rPr>
                <w:sz w:val="27"/>
                <w:szCs w:val="27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8CFF0" w14:textId="77777777" w:rsidR="00685B1F" w:rsidRPr="00685B1F" w:rsidRDefault="00685B1F" w:rsidP="00685B1F">
            <w:pPr>
              <w:autoSpaceDE w:val="0"/>
              <w:autoSpaceDN w:val="0"/>
              <w:adjustRightInd w:val="0"/>
              <w:ind w:firstLine="119"/>
              <w:jc w:val="both"/>
              <w:rPr>
                <w:sz w:val="27"/>
                <w:szCs w:val="27"/>
              </w:rPr>
            </w:pPr>
            <w:r w:rsidRPr="00685B1F">
              <w:rPr>
                <w:sz w:val="27"/>
                <w:szCs w:val="27"/>
              </w:rPr>
              <w:t>Утверждение  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14:paraId="130E26DF" w14:textId="77777777" w:rsidR="00685B1F" w:rsidRPr="00685B1F" w:rsidRDefault="00685B1F" w:rsidP="00685B1F">
            <w:pPr>
              <w:ind w:firstLine="567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5F615" w14:textId="77777777" w:rsidR="00685B1F" w:rsidRPr="00685B1F" w:rsidRDefault="00685B1F" w:rsidP="00685B1F">
            <w:pPr>
              <w:jc w:val="center"/>
              <w:rPr>
                <w:sz w:val="27"/>
                <w:szCs w:val="27"/>
              </w:rPr>
            </w:pPr>
            <w:r w:rsidRPr="00685B1F">
              <w:rPr>
                <w:sz w:val="27"/>
                <w:szCs w:val="27"/>
              </w:rPr>
              <w:t>Исполнено</w:t>
            </w:r>
            <w:proofErr w:type="gramStart"/>
            <w:r w:rsidRPr="00685B1F">
              <w:rPr>
                <w:sz w:val="27"/>
                <w:szCs w:val="27"/>
              </w:rPr>
              <w:t xml:space="preserve"> / Н</w:t>
            </w:r>
            <w:proofErr w:type="gramEnd"/>
            <w:r w:rsidRPr="00685B1F">
              <w:rPr>
                <w:sz w:val="27"/>
                <w:szCs w:val="27"/>
              </w:rPr>
              <w:t>е исполнено</w:t>
            </w:r>
          </w:p>
        </w:tc>
      </w:tr>
      <w:tr w:rsidR="00685B1F" w:rsidRPr="00685B1F" w14:paraId="27CB24C1" w14:textId="77777777" w:rsidTr="00327F79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B7606" w14:textId="77777777" w:rsidR="00685B1F" w:rsidRPr="00685B1F" w:rsidRDefault="00685B1F" w:rsidP="00685B1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</w:rPr>
            </w:pPr>
            <w:r w:rsidRPr="00685B1F">
              <w:rPr>
                <w:color w:val="000000"/>
                <w:sz w:val="27"/>
                <w:szCs w:val="27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B9C00" w14:textId="77777777" w:rsidR="00685B1F" w:rsidRPr="00685B1F" w:rsidRDefault="00685B1F" w:rsidP="00685B1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685B1F">
              <w:rPr>
                <w:rFonts w:cs="Arial"/>
                <w:sz w:val="27"/>
                <w:szCs w:val="27"/>
              </w:rPr>
              <w:t>Доля выданных предостережений                     по результатам рассмотрения обращений               с 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</w:t>
            </w:r>
            <w:proofErr w:type="gramStart"/>
            <w:r w:rsidRPr="00685B1F">
              <w:rPr>
                <w:rFonts w:cs="Arial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C5AFB" w14:textId="77777777" w:rsidR="00685B1F" w:rsidRPr="00685B1F" w:rsidRDefault="00685B1F" w:rsidP="00685B1F">
            <w:pPr>
              <w:jc w:val="center"/>
              <w:rPr>
                <w:sz w:val="27"/>
                <w:szCs w:val="27"/>
              </w:rPr>
            </w:pPr>
            <w:r w:rsidRPr="00685B1F">
              <w:rPr>
                <w:sz w:val="27"/>
                <w:szCs w:val="27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685B1F" w:rsidRPr="00685B1F" w14:paraId="2FE071E5" w14:textId="77777777" w:rsidTr="00327F79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DC439" w14:textId="77777777" w:rsidR="00685B1F" w:rsidRPr="00685B1F" w:rsidRDefault="00685B1F" w:rsidP="00685B1F">
            <w:pPr>
              <w:widowControl w:val="0"/>
              <w:spacing w:line="230" w:lineRule="exact"/>
              <w:ind w:left="220"/>
              <w:rPr>
                <w:sz w:val="27"/>
                <w:szCs w:val="27"/>
              </w:rPr>
            </w:pPr>
            <w:r w:rsidRPr="00685B1F">
              <w:rPr>
                <w:color w:val="000000"/>
                <w:sz w:val="27"/>
                <w:szCs w:val="27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D9CD1" w14:textId="77777777" w:rsidR="00685B1F" w:rsidRPr="00685B1F" w:rsidRDefault="00685B1F" w:rsidP="00685B1F">
            <w:pPr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685B1F">
              <w:rPr>
                <w:sz w:val="27"/>
                <w:szCs w:val="27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14:paraId="3125DD29" w14:textId="77777777" w:rsidR="00685B1F" w:rsidRPr="00685B1F" w:rsidRDefault="00685B1F" w:rsidP="00685B1F">
            <w:pPr>
              <w:widowControl w:val="0"/>
              <w:spacing w:line="274" w:lineRule="exact"/>
              <w:ind w:firstLine="440"/>
              <w:jc w:val="both"/>
              <w:rPr>
                <w:sz w:val="27"/>
                <w:szCs w:val="27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24291" w14:textId="77777777" w:rsidR="00685B1F" w:rsidRPr="00685B1F" w:rsidRDefault="00685B1F" w:rsidP="00685B1F">
            <w:pPr>
              <w:widowControl w:val="0"/>
              <w:spacing w:line="277" w:lineRule="exact"/>
              <w:jc w:val="center"/>
              <w:rPr>
                <w:sz w:val="27"/>
                <w:szCs w:val="27"/>
              </w:rPr>
            </w:pPr>
            <w:r w:rsidRPr="00685B1F">
              <w:rPr>
                <w:sz w:val="27"/>
                <w:szCs w:val="27"/>
              </w:rPr>
              <w:t>100%</w:t>
            </w:r>
          </w:p>
        </w:tc>
      </w:tr>
    </w:tbl>
    <w:p w14:paraId="1E951B81" w14:textId="77777777" w:rsidR="000C41D0" w:rsidRPr="0076056A" w:rsidRDefault="000C41D0" w:rsidP="00125E18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sectPr w:rsidR="000C41D0" w:rsidRPr="0076056A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08167" w14:textId="77777777" w:rsidR="00E304FB" w:rsidRDefault="00E304FB" w:rsidP="000C41D0">
      <w:r>
        <w:separator/>
      </w:r>
    </w:p>
  </w:endnote>
  <w:endnote w:type="continuationSeparator" w:id="0">
    <w:p w14:paraId="67A972FB" w14:textId="77777777" w:rsidR="00E304FB" w:rsidRDefault="00E304F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0FC40" w14:textId="77777777" w:rsidR="00E304FB" w:rsidRDefault="00E304FB" w:rsidP="000C41D0">
      <w:r>
        <w:separator/>
      </w:r>
    </w:p>
  </w:footnote>
  <w:footnote w:type="continuationSeparator" w:id="0">
    <w:p w14:paraId="53CB6F5B" w14:textId="77777777" w:rsidR="00E304FB" w:rsidRDefault="00E304FB" w:rsidP="000C41D0">
      <w:r>
        <w:continuationSeparator/>
      </w:r>
    </w:p>
  </w:footnote>
  <w:footnote w:id="1">
    <w:p w14:paraId="54780042" w14:textId="7858E32D" w:rsidR="003657B3" w:rsidRPr="00CA342B" w:rsidRDefault="003657B3" w:rsidP="00CA342B">
      <w:pPr>
        <w:pStyle w:val="a5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3657B3" w:rsidRDefault="003657B3" w:rsidP="003657B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3657B3" w:rsidRDefault="003657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3657B3" w:rsidRDefault="003657B3" w:rsidP="003657B3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05A56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1950EF1E" w14:textId="77777777" w:rsidR="003657B3" w:rsidRDefault="00365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05A56"/>
    <w:rsid w:val="00125E18"/>
    <w:rsid w:val="001635A8"/>
    <w:rsid w:val="001962A7"/>
    <w:rsid w:val="001B3930"/>
    <w:rsid w:val="001C18B5"/>
    <w:rsid w:val="00203887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2A6F"/>
    <w:rsid w:val="003657B3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85B1F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97560"/>
    <w:rsid w:val="008B3C80"/>
    <w:rsid w:val="008F688B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76CDA"/>
    <w:rsid w:val="00BC713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E0C9D"/>
    <w:rsid w:val="00DF5417"/>
    <w:rsid w:val="00E304FB"/>
    <w:rsid w:val="00E6403A"/>
    <w:rsid w:val="00E8161B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362A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362A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Калинина Марина Геннадьевна</cp:lastModifiedBy>
  <cp:revision>7</cp:revision>
  <cp:lastPrinted>2021-09-30T06:25:00Z</cp:lastPrinted>
  <dcterms:created xsi:type="dcterms:W3CDTF">2021-09-24T10:47:00Z</dcterms:created>
  <dcterms:modified xsi:type="dcterms:W3CDTF">2021-11-01T12:27:00Z</dcterms:modified>
</cp:coreProperties>
</file>